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58" w:rsidRDefault="00C26158" w:rsidP="00C26158">
      <w:pPr>
        <w:pStyle w:val="tekstpodstawowy21"/>
        <w:spacing w:before="0" w:beforeAutospacing="0" w:after="240" w:afterAutospacing="0" w:line="360" w:lineRule="auto"/>
        <w:rPr>
          <w:sz w:val="32"/>
          <w:szCs w:val="32"/>
        </w:rPr>
      </w:pPr>
    </w:p>
    <w:p w:rsidR="00C26158" w:rsidRPr="009B4019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  <w:sz w:val="32"/>
          <w:szCs w:val="32"/>
        </w:rPr>
      </w:pPr>
      <w:r w:rsidRPr="009B4019">
        <w:rPr>
          <w:b/>
          <w:sz w:val="32"/>
          <w:szCs w:val="32"/>
        </w:rPr>
        <w:t>REGULAMIN REKRUTACJI</w:t>
      </w:r>
    </w:p>
    <w:p w:rsidR="00C26158" w:rsidRPr="009B4019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</w:rPr>
      </w:pPr>
      <w:r w:rsidRPr="009B4019">
        <w:t xml:space="preserve"> uczestników </w:t>
      </w:r>
      <w:r w:rsidR="004447E2" w:rsidRPr="009B4019">
        <w:t>szkolenia dla kadry instytucji partnerskich i</w:t>
      </w:r>
      <w:r w:rsidRPr="009B4019">
        <w:t xml:space="preserve"> projektu </w:t>
      </w:r>
      <w:r w:rsidRPr="009B4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B4019">
        <w:rPr>
          <w:b/>
        </w:rPr>
        <w:t>„Polska szkoła za granicą. Wspieranie doskonalenia zawodowego nauczycieli szkół polonijnych”</w:t>
      </w:r>
      <w:r w:rsidRPr="009B4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B4019">
        <w:rPr>
          <w:b/>
        </w:rPr>
        <w:t xml:space="preserve"> </w:t>
      </w:r>
      <w:r w:rsidRPr="009B4019">
        <w:t>realizowanego przez</w:t>
      </w:r>
      <w:r w:rsidR="009B4019" w:rsidRPr="009B4019">
        <w:t>Poolse Vereniging voor Cultuur en Onderwijs ProPolonia</w:t>
      </w:r>
      <w:r w:rsidRPr="009B4019">
        <w:t xml:space="preserve"> w międzynarodowym partnerstwie w ramach programu Erasmus+, sektor edukacja szkolna, akcja KA02 partnerstwa strategiczne na rzecz edukacji szkolnej.</w:t>
      </w:r>
    </w:p>
    <w:p w:rsidR="00C26158" w:rsidRPr="009B4019" w:rsidRDefault="00C26158" w:rsidP="00C26158">
      <w:pPr>
        <w:pStyle w:val="tekstpodstawowy21"/>
        <w:spacing w:before="0" w:beforeAutospacing="0" w:after="240" w:afterAutospacing="0"/>
        <w:jc w:val="center"/>
      </w:pPr>
      <w:r w:rsidRPr="009B4019">
        <w:rPr>
          <w:b/>
        </w:rPr>
        <w:t>Dane identyfikacyjne projektu:</w:t>
      </w:r>
      <w:r w:rsidRPr="009B4019">
        <w:t xml:space="preserve">  Nr 2017-1-PL01-KA201-038799</w:t>
      </w:r>
    </w:p>
    <w:p w:rsidR="00C26158" w:rsidRPr="009B4019" w:rsidRDefault="00C26158" w:rsidP="00C26158">
      <w:pPr>
        <w:pStyle w:val="tekstpodstawowy21"/>
        <w:spacing w:before="0" w:beforeAutospacing="0" w:after="240" w:afterAutospacing="0"/>
        <w:jc w:val="center"/>
        <w:rPr>
          <w:b/>
        </w:rPr>
      </w:pPr>
      <w:r w:rsidRPr="009B4019">
        <w:rPr>
          <w:b/>
        </w:rPr>
        <w:t xml:space="preserve">Czas trwania projektu: </w:t>
      </w:r>
      <w:r w:rsidRPr="009B4019">
        <w:t>01.09.2017 -31.08.2020</w:t>
      </w:r>
    </w:p>
    <w:p w:rsidR="00C26158" w:rsidRPr="009B4019" w:rsidRDefault="00C26158" w:rsidP="00C26158">
      <w:pPr>
        <w:pStyle w:val="default"/>
        <w:spacing w:line="360" w:lineRule="auto"/>
        <w:jc w:val="center"/>
      </w:pPr>
      <w:r w:rsidRPr="009B4019">
        <w:rPr>
          <w:rStyle w:val="Strong"/>
        </w:rPr>
        <w:t xml:space="preserve">Adresaci projektu: </w:t>
      </w:r>
      <w:r w:rsidRPr="009B4019">
        <w:t xml:space="preserve">pracownicy merytoryczni </w:t>
      </w:r>
      <w:r w:rsidR="009B4019" w:rsidRPr="009B4019">
        <w:t>organizacji Poolse Vereniging voor Cultuur en Onderwijs ProPolonia</w:t>
      </w:r>
    </w:p>
    <w:p w:rsidR="00C26158" w:rsidRPr="009B4019" w:rsidRDefault="00C26158" w:rsidP="00C261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26158" w:rsidRPr="009B4019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C26158" w:rsidRPr="009B4019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9B4019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rekrutacji uczestników </w:t>
      </w:r>
      <w:r w:rsidR="004447E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dla kadry instytucji partnerskich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zasady uczestnictwa w projekcie 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„Polska szkoła za granicą. Wspieranie doskonalenia zawodowego nauczycieli szkół polonijnych”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programu Erasmus+, sektor edukacja szkolna, akcja KA02 – partnerstwa strategiczne na rzecz edukacji szkolnej przez </w:t>
      </w:r>
      <w:r w:rsidR="009B4019" w:rsidRPr="009B4019">
        <w:t>Poolse Vereniging voor Cultuur en Onderwijs ProPolonia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międzynarodowej grupie partnerskiej.</w:t>
      </w:r>
    </w:p>
    <w:p w:rsidR="00C26158" w:rsidRPr="009B4019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został przygotowany w celu </w:t>
      </w:r>
      <w:r w:rsidR="002B0C38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prowadzenia doskonalenia zawodowego nauczycieli polonijnych w zakresie edukacji wczesnoszkolnej oraz nauczania przedmiotowego w jęz. polskim; podniesienie ich kompetencji metodycznych, przedmiotowych, psychologicznych i międzykulturowych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 Realizacja tego projektu umożliwi jego beneficjentom praktyczne wykorzystanie w rozwoju zawodowym i osobistym zdobytej wiedzy i umiejętności. Realizacja projektu przyczyni się także do podniesienia jakości pracy organizacji partnerskich w nim uczestniczących.</w:t>
      </w:r>
    </w:p>
    <w:p w:rsidR="00C26158" w:rsidRPr="009B4019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9B4019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9B4019" w:rsidRDefault="00C26158" w:rsidP="00C26158">
      <w:pPr>
        <w:pStyle w:val="default"/>
        <w:spacing w:line="360" w:lineRule="auto"/>
        <w:jc w:val="both"/>
      </w:pPr>
      <w:r w:rsidRPr="009B4019">
        <w:rPr>
          <w:rStyle w:val="Strong"/>
        </w:rPr>
        <w:t xml:space="preserve">Cele projektu: </w:t>
      </w:r>
    </w:p>
    <w:p w:rsidR="002B0C38" w:rsidRPr="009B40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2B0C38" w:rsidRPr="009B40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2B0C38" w:rsidRPr="009B40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2B0C38" w:rsidRPr="009B40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dydakt. z organizacji koordynującej </w:t>
      </w:r>
    </w:p>
    <w:p w:rsidR="002B0C38" w:rsidRPr="009B40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oraz innych innowacyjnego programu doskonalenia metodycznego nauczycieli polonijnych (w tym kadry zarządzającej)</w:t>
      </w:r>
    </w:p>
    <w:p w:rsidR="002B0C38" w:rsidRPr="009B40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pakietu metodycznego nauczyciela szkoły polonijnej, obejmującego wypracowane w trakcie projektu materiały metod.-dydaktyczne</w:t>
      </w:r>
    </w:p>
    <w:p w:rsidR="002B0C38" w:rsidRPr="009B40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2B0C38" w:rsidRPr="009B40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C26158" w:rsidRPr="009B4019" w:rsidRDefault="00C26158" w:rsidP="002B0C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2</w:t>
      </w:r>
    </w:p>
    <w:p w:rsidR="00C26158" w:rsidRPr="009B4019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PROJEKTU</w:t>
      </w:r>
    </w:p>
    <w:p w:rsidR="0084273F" w:rsidRPr="009B4019" w:rsidRDefault="002B0C38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założeniem oraz głównym celem i przedmiotem projektu jest opracowanie i wdrożenie, w ramach współpracy międzynarodowej, kompleksowych, innowacyjnych oraz szeroko dostępnych narzędzi i metod wspierania doskonalenia zawodowego nauczycieli oraz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kadry kierowniczej szkół polonijnych prowadzących działalność edukacyjną w jęz. polskim za granicą. </w:t>
      </w:r>
      <w:r w:rsidR="0084273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osiągnąć założone cele, obok zaplanowanych działań w krajach instytucji partnerskich, realizacja projektu zakłada również przeprowadzenie mobilności pracowników merytorycznych instytucji partnerskich do kraju każdej instytucji partnerskiej. </w:t>
      </w:r>
    </w:p>
    <w:p w:rsidR="0084273F" w:rsidRPr="009B4019" w:rsidRDefault="0084273F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Cele mobilności:</w:t>
      </w:r>
    </w:p>
    <w:p w:rsidR="0084273F" w:rsidRPr="009B40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stałego kontaktu, doradztwa oraz wsparcia metodycznego nauczycieli polonijnych przez pracowników dydaktycznych (konsultantów, doradców metodycznych, trenerów i specjalistów) z organizacji koordynującej w trakcie trwania projektu i po jego zakończeniu (m.in. dzięki wykorzystaniu e-learningu)</w:t>
      </w:r>
    </w:p>
    <w:p w:rsidR="0084273F" w:rsidRPr="009B40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umiejętności nauczycieli polonijnych związanych z planowaniem i organizowaniem pracy dydaktycznej: pomoc w opracowaniu planów dydaktycznych, wyborze metod i materiałów dydaktycznych, planowaniu lekcji, opracowaniu indywidualnych programów terapeutyczno-edukacyjnych, programów zajęć wyrównawczych i kół zainteresowań oraz własnych programów nauczania</w:t>
      </w:r>
    </w:p>
    <w:p w:rsidR="0084273F" w:rsidRPr="009B40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zaprezentowania innowacyjnych narzędzi i metod pracy z uczniem oraz ich przetestowania w lokalnych warunkach</w:t>
      </w:r>
    </w:p>
    <w:p w:rsidR="0084273F" w:rsidRPr="009B40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aktywne włączenie się wszystkich partnerów w wypracowanie rezultatów oraz produktów projektu, stanowiących pomoc i wsparcie metodyczno-przedmiotowe dla poszczególnych nauczycieli oraz instytucji prowadzących edukację polonijną (m.in. pakiet metodyczny nauczyciela polonijnego, współorganizowanie kursów e-learningowych)</w:t>
      </w:r>
    </w:p>
    <w:p w:rsidR="0084273F" w:rsidRPr="009B40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wymiany doświadczeń, elementów dobrych praktyk, a także promocji kultury współpracy i uczenia się od siebie w środowisku nauczycieli polonijnych z różnych krajów europejskich</w:t>
      </w:r>
    </w:p>
    <w:p w:rsidR="002B0C38" w:rsidRPr="009B40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poszerzenie kompetencji kadry zarządzającej szkół polonijnych w zakresie organizacji pracy placówki oświatowej. </w:t>
      </w:r>
    </w:p>
    <w:p w:rsidR="0084273F" w:rsidRPr="009B4019" w:rsidRDefault="004447E2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4273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obilność zagraniczna odbędzie się w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235DFB"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235DFB"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235DFB"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35DFB"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235DFB"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4273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 </w:t>
      </w:r>
      <w:r w:rsidR="00A36F98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partnerskiej </w:t>
      </w:r>
      <w:r w:rsidR="0084273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</w:t>
      </w:r>
    </w:p>
    <w:p w:rsidR="00235DFB" w:rsidRPr="009B4019" w:rsidRDefault="00235DFB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 xml:space="preserve">Integrative Saturday School Limited by Guarantee (Bristol, </w:t>
      </w:r>
      <w:proofErr w:type="spellStart"/>
      <w:r w:rsidRPr="009B401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Wlk</w:t>
      </w:r>
      <w:proofErr w:type="spellEnd"/>
      <w:r w:rsidRPr="009B401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Brytania)</w:t>
      </w:r>
    </w:p>
    <w:p w:rsidR="00C26158" w:rsidRPr="009B4019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26158" w:rsidRPr="009B4019" w:rsidRDefault="00C26158" w:rsidP="00C26158">
      <w:pPr>
        <w:pStyle w:val="NormalWeb"/>
        <w:spacing w:line="360" w:lineRule="auto"/>
        <w:jc w:val="center"/>
        <w:rPr>
          <w:b/>
          <w:u w:val="single"/>
        </w:rPr>
      </w:pPr>
      <w:r w:rsidRPr="009B4019">
        <w:rPr>
          <w:b/>
          <w:u w:val="single"/>
        </w:rPr>
        <w:t>WARUNKI UCZESTNICTWA W PROJEKCIE</w:t>
      </w:r>
    </w:p>
    <w:p w:rsidR="009B4019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projektu są pracownicy merytoryczni</w:t>
      </w:r>
      <w:r w:rsidR="00C33155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(nauczyciele i kadra zarządzająca)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Poolse Vereniging voor Cultuur en Onderwijs ProPolonia.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zostanie przeprowadzony przez powołaną do tego celu Komisję Rekrutacyjną a poprzedzony działalnością informacyjno-promocyjną  w formie  informacji zamieszczonych na tablicy ogłoszeń w siedzibie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Poolse Vereniging voor Cultuur en Onderwijs ProPolonia </w:t>
      </w:r>
      <w:r w:rsidR="00E2382C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www instytucji.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Równość szans przy ubieganiu się o zakwalifikowanie na wyjazd zagraniczny bez względu na płeć, wiek czy niepełnosprawność zostanie zapewniona w procesie rekrutacji.  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będą brane pod uwagę tylko kryteria merytoryczne. 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wzięcia udziału w procesie rekrutacji należy wypełnić i własnoręcznie podpisać kwestionariusz zgłoszeniowy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1)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udziału w projekcie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2)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przesłać pocztą elektroniczną skany ww. dokumentów (w formacie PDF) na adres: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inf@propolonia.be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(ww. dokumenty aplikacyjne są dostępne na stronie internetowej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www.propolonia.be</w:t>
      </w:r>
      <w:r w:rsidR="00C33155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sekretariacie </w:t>
      </w:r>
      <w:r w:rsidR="0039139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Poolse Vereniging voor Cultuur en Onderwijs ProPolonia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 upływa </w:t>
      </w:r>
      <w:r w:rsidR="000C0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3F6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bookmarkStart w:id="0" w:name="_GoBack"/>
      <w:bookmarkEnd w:id="0"/>
      <w:r w:rsidRPr="009B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235DFB" w:rsidRPr="009B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F16D01" w:rsidRPr="009B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.201</w:t>
      </w:r>
      <w:r w:rsidR="00C33155" w:rsidRPr="009B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9B4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16.00 </w:t>
      </w:r>
    </w:p>
    <w:p w:rsidR="00C26158" w:rsidRPr="009B4019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zostanie poinformowany o wynikach naboru droga pisemną, mailową lub telefoniczną. Lista zakwalifikowanych osób do pro</w:t>
      </w:r>
      <w:r w:rsidR="00C33155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zostanie opublikowana na tablicy ogłoszeń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Poolse Vereniging voor Cultuur en Onderwijs ProPolonia</w:t>
      </w:r>
      <w:r w:rsidR="00C33155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rezerwowa będzie do wglądu w sekretariacie </w:t>
      </w:r>
      <w:r w:rsidR="00C33155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Poolse Vereniging voor Cultuur en Onderwijs ProPolonia</w:t>
      </w:r>
    </w:p>
    <w:p w:rsidR="00C26158" w:rsidRPr="009B4019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26158" w:rsidRPr="009B4019" w:rsidRDefault="00C26158" w:rsidP="00C26158">
      <w:pPr>
        <w:pStyle w:val="NormalWeb"/>
        <w:spacing w:line="360" w:lineRule="auto"/>
        <w:jc w:val="center"/>
        <w:rPr>
          <w:b/>
          <w:u w:val="single"/>
        </w:rPr>
      </w:pPr>
      <w:r w:rsidRPr="009B4019">
        <w:rPr>
          <w:b/>
          <w:u w:val="single"/>
        </w:rPr>
        <w:t>KRYTERIA UCZESTNICTWA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Rekrutacyjna wybierze osoby, które w największym stopniu spełniają następujące kryteria:</w:t>
      </w:r>
    </w:p>
    <w:p w:rsidR="00C26158" w:rsidRPr="009B4019" w:rsidRDefault="00C26158" w:rsidP="00C2615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</w:t>
      </w:r>
      <w:r w:rsidR="00C33155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umowa o wolontariat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9139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Poolse Vereniging voor Cultuur en Onderwijs ProPolonia</w:t>
      </w:r>
    </w:p>
    <w:p w:rsidR="00C26158" w:rsidRPr="009B4019" w:rsidRDefault="00C26158" w:rsidP="00C2615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A36F98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w oświacie </w:t>
      </w:r>
      <w:r w:rsidR="00C33155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polonijnej</w:t>
      </w:r>
      <w:r w:rsidR="000766A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9B4019" w:rsidRDefault="00C26158" w:rsidP="00C2615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deklarują: </w:t>
      </w:r>
    </w:p>
    <w:p w:rsidR="00C33155" w:rsidRPr="009B40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C33155" w:rsidRPr="009B40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wspólną pracę nad wytworzeniem rezultatów pracy intelektualnej projektu w trakcie i po szkoleniu </w:t>
      </w:r>
    </w:p>
    <w:p w:rsidR="00C33155" w:rsidRPr="009B40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się uzyskaną wiedzą w organizacjach macierzystych </w:t>
      </w:r>
    </w:p>
    <w:p w:rsidR="00C33155" w:rsidRPr="009B40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C33155" w:rsidRPr="009B40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codziennej praktyce pedagogicznej</w:t>
      </w:r>
    </w:p>
    <w:p w:rsidR="00C26158" w:rsidRPr="009B4019" w:rsidRDefault="00C26158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C26158" w:rsidRPr="009B4019" w:rsidRDefault="00C26158" w:rsidP="00C2615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C26158" w:rsidRPr="009B4019" w:rsidRDefault="00C26158" w:rsidP="00C26158">
      <w:pPr>
        <w:pStyle w:val="NormalWeb"/>
        <w:spacing w:line="360" w:lineRule="auto"/>
        <w:jc w:val="center"/>
      </w:pPr>
      <w:r w:rsidRPr="009B4019">
        <w:rPr>
          <w:b/>
          <w:bCs/>
        </w:rPr>
        <w:t>§ 5</w:t>
      </w:r>
    </w:p>
    <w:p w:rsidR="00C26158" w:rsidRPr="009B4019" w:rsidRDefault="00C26158" w:rsidP="00C26158">
      <w:pPr>
        <w:pStyle w:val="NormalWeb"/>
        <w:spacing w:line="360" w:lineRule="auto"/>
        <w:jc w:val="center"/>
        <w:rPr>
          <w:b/>
          <w:u w:val="single"/>
        </w:rPr>
      </w:pPr>
      <w:r w:rsidRPr="009B4019">
        <w:rPr>
          <w:b/>
          <w:u w:val="single"/>
        </w:rPr>
        <w:t xml:space="preserve">SPOSÓB ORGANIZACJI </w:t>
      </w:r>
      <w:r w:rsidR="004447E2" w:rsidRPr="009B4019">
        <w:rPr>
          <w:b/>
          <w:u w:val="single"/>
        </w:rPr>
        <w:t>MOBILNOŚCI - SZKOLENIA DLA PRACOWNIKÓW Z INSTYTUCJI PARTNERSKICH</w:t>
      </w:r>
      <w:r w:rsidRPr="009B4019">
        <w:rPr>
          <w:b/>
          <w:u w:val="single"/>
        </w:rPr>
        <w:t xml:space="preserve"> 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6F98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drugiej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zaplanowanej w trakcie realizacji projektu mobilności typu </w:t>
      </w:r>
      <w:r w:rsidR="00825627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programy szkoleniowe dla pracowników instytucji partnerskich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partnera zagranicznego (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Integrative Saturday School Limited by Guarantee, Bristol, Wlk. Brytania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weźmie udział </w:t>
      </w:r>
      <w:r w:rsidR="00825627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merytorycznych</w:t>
      </w:r>
      <w:r w:rsidR="00825627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nauczycieli i 1 przedstawiciel kadry zarządzającej instytucją)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627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Poolse Vereniging voor Cultuur en Onderwijs ProPolonia.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zostanie zorganizowany w terminie 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14.02</w:t>
      </w:r>
      <w:r w:rsidR="00C616CA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6F98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20.02</w:t>
      </w:r>
      <w:r w:rsidR="00C616CA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będzie trwał 7 dni (w tym pierwszy (1, tj. 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ostatni (7, tj. 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25627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16CA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dzień przeznaczony na podróż). Działania merytoryczne podczas mobilności będą miały miejsce w dniach 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616CA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16CA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616CA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C616CA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235DFB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ustalonym w porozumieniu z partnerem zagranicznym planem mobilności</w:t>
      </w:r>
      <w:r w:rsidR="00825627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krótkiego szkolenia dla pracowników instytucji partnerskich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budżetu projektu uczestnicy mają zapewnione środki finansowe na odbycie mobilności (podróż, zakwaterowanie, wyżywienie, ubezpieczenie, zajęcia w ramach przygotowania kulturowego). </w:t>
      </w:r>
    </w:p>
    <w:p w:rsidR="00C26158" w:rsidRPr="009B4019" w:rsidRDefault="00C26158" w:rsidP="00C26158">
      <w:pPr>
        <w:pStyle w:val="NormalWeb"/>
        <w:spacing w:line="360" w:lineRule="auto"/>
        <w:jc w:val="center"/>
        <w:rPr>
          <w:b/>
          <w:bCs/>
        </w:rPr>
      </w:pPr>
      <w:r w:rsidRPr="009B4019">
        <w:rPr>
          <w:b/>
          <w:bCs/>
        </w:rPr>
        <w:t>§ 6</w:t>
      </w:r>
    </w:p>
    <w:p w:rsidR="00C26158" w:rsidRPr="009B4019" w:rsidRDefault="00C26158" w:rsidP="00C26158">
      <w:pPr>
        <w:pStyle w:val="NormalWeb"/>
        <w:spacing w:line="360" w:lineRule="auto"/>
        <w:jc w:val="center"/>
        <w:rPr>
          <w:u w:val="single"/>
        </w:rPr>
      </w:pPr>
      <w:r w:rsidRPr="009B4019">
        <w:rPr>
          <w:b/>
          <w:bCs/>
          <w:u w:val="single"/>
        </w:rPr>
        <w:t>KOMISJA REKRUTACYJNA</w:t>
      </w:r>
    </w:p>
    <w:p w:rsidR="000766A2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powołana przez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organizacji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 wybór uczestników na podstawie kwesti</w:t>
      </w:r>
      <w:r w:rsidR="000766A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onariuszy zgłoszeniowych</w:t>
      </w:r>
      <w:r w:rsidR="000A46A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66A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punktacji dot. stażu pracy w oświacie</w:t>
      </w:r>
      <w:r w:rsidR="00194BC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polonijnej</w:t>
      </w:r>
      <w:r w:rsidR="000766A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</w:t>
      </w:r>
    </w:p>
    <w:p w:rsidR="000766A2" w:rsidRPr="009B4019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6F98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– 1 punkt</w:t>
      </w:r>
    </w:p>
    <w:p w:rsidR="000766A2" w:rsidRPr="009B4019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każdy dodatkowy rok pracy +1 punkt</w:t>
      </w:r>
    </w:p>
    <w:p w:rsidR="00194BCF" w:rsidRPr="009B4019" w:rsidRDefault="00C26158" w:rsidP="00194B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jednakowej ilości punktów o wyborze uczestnika zadecyduje kolejność zgłoszeń.</w:t>
      </w:r>
      <w:r w:rsidR="00194BC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9B4019" w:rsidRDefault="00194BCF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podjęcia powyższej procedury stworzona lista uczestników. 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większej liczby kandydatów utworzona zostanie lista rezerwowa. Gdy nastąpi rezygnacja  osoby z listy podstawowej  uczestników na jej miejsce do projektu zostaje zakwalifikowana pierwsza osoba z listy rezerwowej.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do projektu zostanie poinformowany o wynikach naboru drogą pisemną, mailową lub telefoniczną.</w:t>
      </w:r>
    </w:p>
    <w:p w:rsidR="00C26158" w:rsidRPr="009B4019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zakwalifikowanych osób do projektu zostanie opublikowana na </w:t>
      </w:r>
      <w:r w:rsidR="00194BC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tablicy ogłoszeń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organizacjiPoolse Vereniging voor Cultuur en Onderwijs ProPolonia</w:t>
      </w:r>
      <w:r w:rsidR="00194BC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Poolse Vereniging voor Cultuur en Onderwijs ProPolonia</w:t>
      </w:r>
      <w:r w:rsidR="00194BC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BCF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rezerwowa będzie do wglądu w sekretariacie </w:t>
      </w:r>
      <w:r w:rsidR="009B4019" w:rsidRPr="009B4019">
        <w:t>Poolse Vereniging voor Cultuur en Onderwijs ProPolonia</w:t>
      </w:r>
    </w:p>
    <w:p w:rsidR="00C26158" w:rsidRPr="009B4019" w:rsidRDefault="00C26158" w:rsidP="00C26158">
      <w:pPr>
        <w:jc w:val="center"/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26158" w:rsidRPr="009B4019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0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PROCEDURA REZYGNACJI</w:t>
      </w:r>
    </w:p>
    <w:p w:rsidR="00C26158" w:rsidRPr="009B4019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Pr="009B4019" w:rsidRDefault="00C26158" w:rsidP="00C26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19">
        <w:rPr>
          <w:rFonts w:ascii="Times New Roman" w:hAnsi="Times New Roman" w:cs="Times New Roman"/>
          <w:sz w:val="24"/>
          <w:szCs w:val="24"/>
        </w:rPr>
        <w:t>Rezygnacja z uczestnictwa w projekcie (w uzasadnionych przypadkach) możliwa jest po przedstawieniu pisemnego wniosku do koordynatora projektu</w:t>
      </w:r>
      <w:r w:rsidR="00194BCF" w:rsidRPr="009B4019">
        <w:rPr>
          <w:rFonts w:ascii="Times New Roman" w:hAnsi="Times New Roman" w:cs="Times New Roman"/>
          <w:sz w:val="24"/>
          <w:szCs w:val="24"/>
        </w:rPr>
        <w:t xml:space="preserve"> z instytucji partnerskiej</w:t>
      </w:r>
      <w:r w:rsidRPr="009B4019">
        <w:rPr>
          <w:rFonts w:ascii="Times New Roman" w:hAnsi="Times New Roman" w:cs="Times New Roman"/>
          <w:sz w:val="24"/>
          <w:szCs w:val="24"/>
        </w:rPr>
        <w:t xml:space="preserve">. Wniosek taki należy złożyć nie później niż </w:t>
      </w:r>
      <w:r w:rsidR="00194BCF" w:rsidRPr="009B4019">
        <w:rPr>
          <w:rFonts w:ascii="Times New Roman" w:hAnsi="Times New Roman" w:cs="Times New Roman"/>
          <w:sz w:val="24"/>
          <w:szCs w:val="24"/>
        </w:rPr>
        <w:t>14</w:t>
      </w:r>
      <w:r w:rsidRPr="009B4019">
        <w:rPr>
          <w:rFonts w:ascii="Times New Roman" w:hAnsi="Times New Roman" w:cs="Times New Roman"/>
          <w:sz w:val="24"/>
          <w:szCs w:val="24"/>
        </w:rPr>
        <w:t xml:space="preserve"> dni przed rozpoczęciem </w:t>
      </w:r>
      <w:r w:rsidR="00194BCF" w:rsidRPr="009B4019">
        <w:rPr>
          <w:rFonts w:ascii="Times New Roman" w:hAnsi="Times New Roman" w:cs="Times New Roman"/>
          <w:sz w:val="24"/>
          <w:szCs w:val="24"/>
        </w:rPr>
        <w:t>mobilności</w:t>
      </w:r>
      <w:r w:rsidRPr="009B4019">
        <w:rPr>
          <w:rFonts w:ascii="Times New Roman" w:hAnsi="Times New Roman" w:cs="Times New Roman"/>
          <w:sz w:val="24"/>
          <w:szCs w:val="24"/>
        </w:rPr>
        <w:t>. W przypadku rezygnacji uczestnika po zakupieniu biletów lotniczych zostaje on obciążony kosztami tzw. przebukowania biletu.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nastąpi rezygnacja  osoby z listy podstawowej  uczestników na jej miejsce do projektu zostaje zakwalifikowana pierwsza osoba z listy rezerwowej.</w:t>
      </w:r>
    </w:p>
    <w:p w:rsidR="00C26158" w:rsidRPr="009B401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26158" w:rsidRPr="009B4019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019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 UCZESTNIKA </w:t>
      </w:r>
      <w:r w:rsidR="004447E2" w:rsidRPr="009B4019">
        <w:rPr>
          <w:rFonts w:ascii="Times New Roman" w:hAnsi="Times New Roman" w:cs="Times New Roman"/>
          <w:b/>
          <w:sz w:val="24"/>
          <w:szCs w:val="24"/>
          <w:u w:val="single"/>
        </w:rPr>
        <w:t xml:space="preserve">MOBILNOŚCI I </w:t>
      </w:r>
      <w:r w:rsidRPr="009B4019">
        <w:rPr>
          <w:rFonts w:ascii="Times New Roman" w:hAnsi="Times New Roman" w:cs="Times New Roman"/>
          <w:b/>
          <w:sz w:val="24"/>
          <w:szCs w:val="24"/>
          <w:u w:val="single"/>
        </w:rPr>
        <w:t>PROJEKTU</w:t>
      </w:r>
    </w:p>
    <w:p w:rsidR="00C26158" w:rsidRPr="009B4019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mobilnością zagraniczną:</w:t>
      </w:r>
    </w:p>
    <w:p w:rsidR="006D3A10" w:rsidRPr="009B4019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 w:rsidR="00113E2C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3A10" w:rsidRPr="009B4019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trakcie mobilności zagranicznej: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w zaplanowanych działaniach merytorycznych, 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 w:rsidR="0039139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Poolse Vereniging voor Cultuur en Onderwijs ProPolonia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przebiegu </w:t>
      </w:r>
      <w:r w:rsidR="00113E2C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wypełnianie ankiet ewaluacyjnych w trakcie mobilności i przesyłanie ich do koordynatora projektu </w:t>
      </w:r>
      <w:r w:rsidR="004447E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z org. koordynującej,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gromadzenie materiałów ze szkolenia w celu ich późniejszego wykorzystania podczas prac nad wytworzeniem rezultatów </w:t>
      </w:r>
      <w:r w:rsidR="00113E2C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projektu,</w:t>
      </w:r>
    </w:p>
    <w:p w:rsidR="00113E2C" w:rsidRPr="009B4019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uczestnictwo w działaniach na rzecz wytworzenia rezultatów pracy intelektualnej projektu, 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porozumieniu z partnerem zagranicznym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mobilności:</w:t>
      </w:r>
    </w:p>
    <w:p w:rsidR="00113E2C" w:rsidRPr="009B4019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zadań  przydzielonych przez koordynatora projektu, dot. prac nad wytworzeniem rezultatów pracy intelektualnej projektu</w:t>
      </w:r>
      <w:r w:rsidR="00322EB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 rezultatów mobilności</w:t>
      </w:r>
      <w:r w:rsidR="00322EB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(udział w wydarzeniach upowszechniających organizowanych przez organizację)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E2C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uzyskaną wiedzą z innymi pracownikami w instytucji partnerskiej, nie uczestniczącymi w szkoleniu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indywidualnego raportu z odbytej mobilności (do </w:t>
      </w:r>
      <w:r w:rsidR="00A36F98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</w:t>
      </w:r>
      <w:r w:rsidR="00322EB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go do org. koordynującej</w:t>
      </w:r>
    </w:p>
    <w:p w:rsidR="00C26158" w:rsidRPr="009B40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</w:t>
      </w:r>
      <w:r w:rsidR="00322EB2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(przesłanie potwierdzenia sporządzenia raportu do org. koordynującej).</w:t>
      </w:r>
    </w:p>
    <w:p w:rsidR="00C26158" w:rsidRPr="009B401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26158" w:rsidRPr="009B401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C26158" w:rsidRPr="009B401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9B4019" w:rsidRDefault="00C26158" w:rsidP="00C261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uczestnictwa w projekcie zostaną określone w umowie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en-GB"/>
        </w:rPr>
        <w:t>pomiędzy organizacją wysyłającą a uczestnikiem mobilności (</w:t>
      </w:r>
      <w:r w:rsidRPr="009B401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pracownikiem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zostanie udostępniony na stronie internetowej </w:t>
      </w:r>
      <w:r w:rsidR="009B4019"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>Poolse Vereniging voor Cultuur en Onderwijs ProPolonia.</w:t>
      </w:r>
    </w:p>
    <w:p w:rsidR="00C26158" w:rsidRPr="009B40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nr telefonu – </w:t>
      </w:r>
      <w:r w:rsidR="009B4019" w:rsidRPr="009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+32 487 456 238</w:t>
      </w:r>
      <w:r w:rsidRPr="009B4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4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adresem mailowym – </w:t>
      </w:r>
      <w:r w:rsidR="009B4019" w:rsidRPr="009B4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marekpiascik@wp.pl</w:t>
      </w:r>
    </w:p>
    <w:p w:rsidR="00C26158" w:rsidRPr="003F6345" w:rsidRDefault="00C26158" w:rsidP="003F634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informacje o Programie Erasmus+, akcji</w:t>
      </w:r>
      <w:r w:rsidR="00322EB2" w:rsidRPr="009B4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2, </w:t>
      </w:r>
      <w:r w:rsidRPr="009B4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2EB2" w:rsidRPr="009B4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Edukacja szkolna, Partnerstwa strategiczne na rzecz edukacji szkol</w:t>
      </w:r>
    </w:p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>
      <w:pPr>
        <w:tabs>
          <w:tab w:val="left" w:pos="6435"/>
        </w:tabs>
      </w:pPr>
      <w:r w:rsidRPr="009B4019">
        <w:tab/>
      </w:r>
    </w:p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/>
    <w:p w:rsidR="00C26158" w:rsidRPr="009B4019" w:rsidRDefault="00C26158" w:rsidP="00C26158">
      <w:pPr>
        <w:tabs>
          <w:tab w:val="left" w:pos="5859"/>
        </w:tabs>
      </w:pPr>
    </w:p>
    <w:p w:rsidR="00065B4E" w:rsidRPr="009B4019" w:rsidRDefault="00186EF3" w:rsidP="00186EF3">
      <w:pPr>
        <w:tabs>
          <w:tab w:val="left" w:pos="5859"/>
        </w:tabs>
      </w:pPr>
      <w:r w:rsidRPr="009B4019">
        <w:tab/>
      </w:r>
    </w:p>
    <w:sectPr w:rsidR="00065B4E" w:rsidRPr="009B4019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B0A" w:rsidRDefault="008A0B0A" w:rsidP="00FC4428">
      <w:pPr>
        <w:spacing w:after="0" w:line="240" w:lineRule="auto"/>
      </w:pPr>
      <w:r>
        <w:separator/>
      </w:r>
    </w:p>
  </w:endnote>
  <w:endnote w:type="continuationSeparator" w:id="0">
    <w:p w:rsidR="008A0B0A" w:rsidRDefault="008A0B0A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093057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B0A" w:rsidRDefault="008A0B0A" w:rsidP="00FC4428">
      <w:pPr>
        <w:spacing w:after="0" w:line="240" w:lineRule="auto"/>
      </w:pPr>
      <w:r>
        <w:separator/>
      </w:r>
    </w:p>
  </w:footnote>
  <w:footnote w:type="continuationSeparator" w:id="0">
    <w:p w:rsidR="008A0B0A" w:rsidRDefault="008A0B0A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8A0B0A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1C7497">
      <w:rPr>
        <w:color w:val="2F5496" w:themeColor="accent5" w:themeShade="BF"/>
      </w:rPr>
      <w:tab/>
    </w:r>
    <w:r w:rsidR="006F4CC4">
      <w:rPr>
        <w:color w:val="2F5496" w:themeColor="accent5" w:themeShade="BF"/>
      </w:rPr>
      <w:t xml:space="preserve">                                                   </w:t>
    </w:r>
    <w:r w:rsidR="004F7D65">
      <w:rPr>
        <w:noProof/>
        <w:color w:val="2F5496" w:themeColor="accent5" w:themeShade="BF"/>
      </w:rPr>
      <w:t xml:space="preserve">                                                                    </w:t>
    </w:r>
    <w:r w:rsidR="004F7D65" w:rsidRPr="00F44855">
      <w:rPr>
        <w:noProof/>
        <w:color w:val="2F5496" w:themeColor="accent5" w:themeShade="BF"/>
      </w:rPr>
      <w:drawing>
        <wp:inline distT="0" distB="0" distL="0" distR="0" wp14:anchorId="06E72DF8" wp14:editId="6DDB3C69">
          <wp:extent cx="1657350" cy="676275"/>
          <wp:effectExtent l="0" t="0" r="0" b="9525"/>
          <wp:docPr id="2" name="Picture 2" descr="C:\Users\piasmar\Desktop\Stowarzyszenie 2017\Zdj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asmar\Desktop\Stowarzyszenie 2017\Zdj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CC4">
      <w:rPr>
        <w:color w:val="2F5496" w:themeColor="accent5" w:themeShade="BF"/>
      </w:rPr>
      <w:t xml:space="preserve">                                                                                 </w:t>
    </w:r>
  </w:p>
  <w:p w:rsidR="001C7497" w:rsidRDefault="004F7D65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color w:val="2F5496" w:themeColor="accent5" w:themeShade="BF"/>
      </w:rPr>
      <w:t xml:space="preserve">                                                                                                                                </w:t>
    </w: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8BA92D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EBE"/>
    <w:multiLevelType w:val="hybridMultilevel"/>
    <w:tmpl w:val="483A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F9F"/>
    <w:multiLevelType w:val="hybridMultilevel"/>
    <w:tmpl w:val="7648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149"/>
    <w:multiLevelType w:val="hybridMultilevel"/>
    <w:tmpl w:val="73FA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63236"/>
    <w:rsid w:val="00065B4E"/>
    <w:rsid w:val="000766A2"/>
    <w:rsid w:val="000A46AF"/>
    <w:rsid w:val="000C0C12"/>
    <w:rsid w:val="00113E2C"/>
    <w:rsid w:val="00145071"/>
    <w:rsid w:val="00170A29"/>
    <w:rsid w:val="00171B35"/>
    <w:rsid w:val="00186EF3"/>
    <w:rsid w:val="00194BCF"/>
    <w:rsid w:val="001C7497"/>
    <w:rsid w:val="001E621E"/>
    <w:rsid w:val="002258F1"/>
    <w:rsid w:val="00231AD9"/>
    <w:rsid w:val="00235DFB"/>
    <w:rsid w:val="00244F6C"/>
    <w:rsid w:val="00263F5C"/>
    <w:rsid w:val="00294636"/>
    <w:rsid w:val="002A4EA2"/>
    <w:rsid w:val="002B0C38"/>
    <w:rsid w:val="00315DF8"/>
    <w:rsid w:val="00322EB2"/>
    <w:rsid w:val="00391399"/>
    <w:rsid w:val="003F6345"/>
    <w:rsid w:val="00421EC3"/>
    <w:rsid w:val="00435B3F"/>
    <w:rsid w:val="00436EDD"/>
    <w:rsid w:val="004447E2"/>
    <w:rsid w:val="00461C2D"/>
    <w:rsid w:val="00467BED"/>
    <w:rsid w:val="00471177"/>
    <w:rsid w:val="004C4278"/>
    <w:rsid w:val="004F7D65"/>
    <w:rsid w:val="005129DC"/>
    <w:rsid w:val="005E0886"/>
    <w:rsid w:val="00643F5F"/>
    <w:rsid w:val="006C2B13"/>
    <w:rsid w:val="006D1923"/>
    <w:rsid w:val="006D3A10"/>
    <w:rsid w:val="006F4CC4"/>
    <w:rsid w:val="007C7EEC"/>
    <w:rsid w:val="007E34D5"/>
    <w:rsid w:val="00825627"/>
    <w:rsid w:val="0084273F"/>
    <w:rsid w:val="008A0B0A"/>
    <w:rsid w:val="00911EBB"/>
    <w:rsid w:val="009B4019"/>
    <w:rsid w:val="009C5AEA"/>
    <w:rsid w:val="009C7927"/>
    <w:rsid w:val="00A3639A"/>
    <w:rsid w:val="00A36F98"/>
    <w:rsid w:val="00A91AFC"/>
    <w:rsid w:val="00A92F7F"/>
    <w:rsid w:val="00B222E4"/>
    <w:rsid w:val="00B82688"/>
    <w:rsid w:val="00BF4EB9"/>
    <w:rsid w:val="00C26158"/>
    <w:rsid w:val="00C33155"/>
    <w:rsid w:val="00C616CA"/>
    <w:rsid w:val="00C77AE9"/>
    <w:rsid w:val="00CA0DB1"/>
    <w:rsid w:val="00D26AC9"/>
    <w:rsid w:val="00D5695B"/>
    <w:rsid w:val="00D75552"/>
    <w:rsid w:val="00E2382C"/>
    <w:rsid w:val="00E43A9B"/>
    <w:rsid w:val="00ED7ADC"/>
    <w:rsid w:val="00EE57BE"/>
    <w:rsid w:val="00F16D01"/>
    <w:rsid w:val="00F55EAB"/>
    <w:rsid w:val="00FA1C5F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A5ED3C"/>
  <w15:docId w15:val="{93A0F1E1-8434-4EDC-923F-222FED1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2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C908-601E-4747-B9E4-034BE612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17</TotalTime>
  <Pages>1</Pages>
  <Words>1820</Words>
  <Characters>10921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10</cp:revision>
  <cp:lastPrinted>2017-07-07T12:06:00Z</cp:lastPrinted>
  <dcterms:created xsi:type="dcterms:W3CDTF">2018-11-09T12:15:00Z</dcterms:created>
  <dcterms:modified xsi:type="dcterms:W3CDTF">2018-11-19T21:34:00Z</dcterms:modified>
</cp:coreProperties>
</file>